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D700CF">
      <w:pPr>
        <w:spacing w:after="204" w:afterLines="50" w:line="400" w:lineRule="exact"/>
        <w:jc w:val="center"/>
        <w:rPr>
          <w:rFonts w:ascii="黑体" w:eastAsia="黑体"/>
          <w:szCs w:val="21"/>
        </w:rPr>
      </w:pPr>
      <w:r>
        <w:rPr>
          <w:rFonts w:hint="eastAsia" w:ascii="黑体" w:eastAsia="黑体" w:cs="黑体"/>
          <w:spacing w:val="2"/>
          <w:position w:val="2"/>
          <w:sz w:val="21"/>
          <w:szCs w:val="21"/>
        </w:rPr>
        <w:t>公用事业部招标公告备案表</w:t>
      </w:r>
    </w:p>
    <w:tbl>
      <w:tblPr>
        <w:tblStyle w:val="7"/>
        <w:tblW w:w="8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9"/>
      </w:tblGrid>
      <w:tr w14:paraId="5573E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8659" w:type="dxa"/>
            <w:vAlign w:val="center"/>
          </w:tcPr>
          <w:p w14:paraId="2C62E7FD">
            <w:pPr>
              <w:rPr>
                <w:rFonts w:ascii="宋体" w:cs="宋体"/>
                <w:sz w:val="18"/>
                <w:szCs w:val="18"/>
              </w:rPr>
            </w:pPr>
            <w:r>
              <w:rPr>
                <w:rFonts w:hint="eastAsia" w:ascii="宋体" w:cs="宋体"/>
                <w:sz w:val="18"/>
                <w:szCs w:val="18"/>
              </w:rPr>
              <w:t xml:space="preserve">招标人：    浙江巨化热电有限公司        </w:t>
            </w:r>
          </w:p>
        </w:tc>
      </w:tr>
      <w:tr w14:paraId="0673D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8659" w:type="dxa"/>
            <w:vAlign w:val="center"/>
          </w:tcPr>
          <w:p w14:paraId="1547BF6F">
            <w:pPr>
              <w:rPr>
                <w:rFonts w:ascii="宋体" w:cs="宋体"/>
                <w:sz w:val="18"/>
                <w:szCs w:val="18"/>
              </w:rPr>
            </w:pPr>
            <w:r>
              <w:rPr>
                <w:rFonts w:hint="eastAsia" w:ascii="宋体" w:cs="宋体"/>
                <w:sz w:val="18"/>
                <w:szCs w:val="18"/>
              </w:rPr>
              <w:t xml:space="preserve">招标代理：       </w:t>
            </w:r>
            <w:r>
              <w:rPr>
                <w:rFonts w:ascii="宋体" w:cs="宋体"/>
                <w:sz w:val="18"/>
                <w:szCs w:val="18"/>
              </w:rPr>
              <w:t>无</w:t>
            </w:r>
            <w:r>
              <w:rPr>
                <w:rFonts w:hint="eastAsia" w:ascii="宋体" w:cs="宋体"/>
                <w:sz w:val="18"/>
                <w:szCs w:val="18"/>
              </w:rPr>
              <w:t xml:space="preserve"> </w:t>
            </w:r>
          </w:p>
        </w:tc>
      </w:tr>
      <w:tr w14:paraId="4672D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659" w:type="dxa"/>
            <w:vAlign w:val="center"/>
          </w:tcPr>
          <w:p w14:paraId="1760DD6A">
            <w:pPr>
              <w:rPr>
                <w:rFonts w:ascii="宋体" w:cs="宋体"/>
                <w:sz w:val="18"/>
                <w:szCs w:val="18"/>
              </w:rPr>
            </w:pPr>
            <w:r>
              <w:rPr>
                <w:rFonts w:hint="eastAsia" w:ascii="宋体" w:cs="宋体"/>
                <w:sz w:val="18"/>
                <w:szCs w:val="18"/>
              </w:rPr>
              <w:t xml:space="preserve">招标类别：  </w:t>
            </w:r>
            <w:r>
              <w:rPr>
                <w:rFonts w:ascii="宋体" w:cs="宋体"/>
                <w:sz w:val="18"/>
                <w:szCs w:val="18"/>
              </w:rPr>
              <w:t xml:space="preserve"> </w:t>
            </w:r>
            <w:r>
              <w:rPr>
                <w:rFonts w:hint="eastAsia" w:ascii="宋体" w:cs="宋体"/>
                <w:sz w:val="18"/>
                <w:szCs w:val="18"/>
              </w:rPr>
              <w:sym w:font="Wingdings 2" w:char="00A3"/>
            </w:r>
            <w:r>
              <w:rPr>
                <w:rFonts w:hint="eastAsia" w:ascii="宋体" w:cs="宋体"/>
                <w:sz w:val="18"/>
                <w:szCs w:val="18"/>
              </w:rPr>
              <w:t xml:space="preserve">依法招标 </w:t>
            </w:r>
            <w:r>
              <w:rPr>
                <w:rFonts w:ascii="宋体" w:cs="宋体"/>
                <w:sz w:val="18"/>
                <w:szCs w:val="18"/>
              </w:rPr>
              <w:t xml:space="preserve">  </w:t>
            </w:r>
            <w:r>
              <w:rPr>
                <w:rFonts w:hint="eastAsia" w:ascii="黑体" w:eastAsia="黑体" w:cs="黑体"/>
                <w:spacing w:val="2"/>
                <w:position w:val="2"/>
                <w:sz w:val="21"/>
                <w:szCs w:val="21"/>
              </w:rPr>
              <w:t>√</w:t>
            </w:r>
            <w:r>
              <w:rPr>
                <w:rFonts w:hint="eastAsia" w:ascii="宋体" w:cs="宋体"/>
                <w:sz w:val="18"/>
                <w:szCs w:val="18"/>
              </w:rPr>
              <w:t xml:space="preserve">自愿招标 </w:t>
            </w:r>
          </w:p>
        </w:tc>
      </w:tr>
      <w:tr w14:paraId="3CBDC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8659" w:type="dxa"/>
            <w:vAlign w:val="center"/>
          </w:tcPr>
          <w:p w14:paraId="638176B7">
            <w:pPr>
              <w:rPr>
                <w:rFonts w:ascii="宋体" w:cs="宋体"/>
                <w:sz w:val="18"/>
                <w:szCs w:val="18"/>
              </w:rPr>
            </w:pPr>
            <w:r>
              <w:rPr>
                <w:rFonts w:hint="eastAsia" w:ascii="宋体" w:cs="宋体"/>
                <w:sz w:val="18"/>
                <w:szCs w:val="18"/>
              </w:rPr>
              <w:t xml:space="preserve">费用归口：  </w:t>
            </w:r>
            <w:r>
              <w:rPr>
                <w:rFonts w:hint="eastAsia" w:ascii="宋体" w:cs="宋体"/>
                <w:sz w:val="18"/>
                <w:szCs w:val="18"/>
              </w:rPr>
              <w:sym w:font="Wingdings 2" w:char="00A3"/>
            </w:r>
            <w:r>
              <w:rPr>
                <w:rFonts w:hint="eastAsia" w:ascii="宋体" w:cs="宋体"/>
                <w:sz w:val="18"/>
                <w:szCs w:val="18"/>
              </w:rPr>
              <w:t xml:space="preserve">基建技改  </w:t>
            </w:r>
            <w:r>
              <w:rPr>
                <w:rFonts w:ascii="宋体" w:cs="宋体"/>
                <w:sz w:val="18"/>
                <w:szCs w:val="18"/>
              </w:rPr>
              <w:t xml:space="preserve"> </w:t>
            </w:r>
            <w:r>
              <w:rPr>
                <w:rFonts w:hint="eastAsia" w:ascii="宋体" w:cs="宋体"/>
                <w:sz w:val="18"/>
                <w:szCs w:val="18"/>
              </w:rPr>
              <w:t xml:space="preserve"> </w:t>
            </w:r>
            <w:r>
              <w:rPr>
                <w:rFonts w:hint="eastAsia" w:ascii="宋体" w:cs="宋体"/>
                <w:sz w:val="18"/>
                <w:szCs w:val="18"/>
              </w:rPr>
              <w:sym w:font="Wingdings 2" w:char="00A3"/>
            </w:r>
            <w:r>
              <w:rPr>
                <w:rFonts w:hint="eastAsia" w:ascii="宋体" w:cs="宋体"/>
                <w:sz w:val="18"/>
                <w:szCs w:val="18"/>
              </w:rPr>
              <w:t xml:space="preserve">设备更新 </w:t>
            </w:r>
            <w:r>
              <w:rPr>
                <w:rFonts w:ascii="宋体" w:cs="宋体"/>
                <w:sz w:val="18"/>
                <w:szCs w:val="18"/>
              </w:rPr>
              <w:t xml:space="preserve"> </w:t>
            </w:r>
            <w:r>
              <w:rPr>
                <w:rFonts w:hint="eastAsia" w:ascii="宋体" w:cs="宋体"/>
                <w:sz w:val="18"/>
                <w:szCs w:val="18"/>
              </w:rPr>
              <w:t xml:space="preserve">  </w:t>
            </w:r>
            <w:r>
              <w:rPr>
                <w:rFonts w:hint="eastAsia" w:ascii="宋体" w:cs="宋体"/>
                <w:sz w:val="18"/>
                <w:szCs w:val="18"/>
              </w:rPr>
              <w:sym w:font="Wingdings 2" w:char="00A3"/>
            </w:r>
            <w:r>
              <w:rPr>
                <w:rFonts w:hint="eastAsia" w:ascii="宋体" w:cs="宋体"/>
                <w:sz w:val="18"/>
                <w:szCs w:val="18"/>
              </w:rPr>
              <w:t>科研开发</w:t>
            </w:r>
          </w:p>
          <w:p w14:paraId="3B8CAB31">
            <w:pPr>
              <w:ind w:firstLine="1080" w:firstLineChars="600"/>
              <w:rPr>
                <w:rFonts w:ascii="宋体" w:cs="宋体"/>
                <w:sz w:val="18"/>
                <w:szCs w:val="18"/>
              </w:rPr>
            </w:pPr>
            <w:r>
              <w:rPr>
                <w:rFonts w:hint="eastAsia" w:ascii="宋体" w:cs="宋体"/>
                <w:sz w:val="18"/>
                <w:szCs w:val="18"/>
              </w:rPr>
              <w:sym w:font="Wingdings 2" w:char="00A3"/>
            </w:r>
            <w:r>
              <w:rPr>
                <w:rFonts w:hint="eastAsia" w:ascii="宋体" w:cs="宋体"/>
                <w:sz w:val="18"/>
                <w:szCs w:val="18"/>
              </w:rPr>
              <w:t xml:space="preserve">生产原辅料 </w:t>
            </w:r>
            <w:r>
              <w:rPr>
                <w:rFonts w:hint="eastAsia" w:ascii="黑体" w:eastAsia="黑体" w:cs="黑体"/>
                <w:spacing w:val="2"/>
                <w:position w:val="2"/>
                <w:sz w:val="21"/>
                <w:szCs w:val="21"/>
              </w:rPr>
              <w:t>√</w:t>
            </w:r>
            <w:r>
              <w:rPr>
                <w:rFonts w:hint="eastAsia" w:ascii="宋体" w:cs="宋体"/>
                <w:sz w:val="18"/>
                <w:szCs w:val="18"/>
              </w:rPr>
              <w:t xml:space="preserve">副产品销售 </w:t>
            </w:r>
            <w:r>
              <w:rPr>
                <w:rFonts w:ascii="宋体" w:cs="宋体"/>
                <w:sz w:val="18"/>
                <w:szCs w:val="18"/>
              </w:rPr>
              <w:t xml:space="preserve"> </w:t>
            </w:r>
            <w:r>
              <w:rPr>
                <w:rFonts w:hint="eastAsia" w:ascii="宋体" w:cs="宋体"/>
                <w:sz w:val="18"/>
                <w:szCs w:val="18"/>
              </w:rPr>
              <w:sym w:font="Wingdings 2" w:char="00A3"/>
            </w:r>
            <w:r>
              <w:rPr>
                <w:rFonts w:hint="eastAsia" w:ascii="宋体" w:cs="宋体"/>
                <w:sz w:val="18"/>
                <w:szCs w:val="18"/>
              </w:rPr>
              <w:t xml:space="preserve">其他 </w:t>
            </w:r>
          </w:p>
        </w:tc>
      </w:tr>
      <w:tr w14:paraId="0D321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659" w:type="dxa"/>
            <w:vAlign w:val="center"/>
          </w:tcPr>
          <w:p w14:paraId="17CA2CD8">
            <w:pPr>
              <w:rPr>
                <w:rFonts w:ascii="宋体" w:cs="宋体"/>
                <w:sz w:val="18"/>
                <w:szCs w:val="18"/>
              </w:rPr>
            </w:pPr>
            <w:r>
              <w:rPr>
                <w:rFonts w:hint="eastAsia" w:ascii="宋体" w:cs="宋体"/>
                <w:sz w:val="18"/>
                <w:szCs w:val="18"/>
              </w:rPr>
              <w:t xml:space="preserve">类型：      </w:t>
            </w:r>
            <w:r>
              <w:rPr>
                <w:rFonts w:hint="eastAsia" w:ascii="宋体" w:cs="宋体"/>
                <w:sz w:val="18"/>
                <w:szCs w:val="18"/>
              </w:rPr>
              <w:sym w:font="Wingdings 2" w:char="00A3"/>
            </w:r>
            <w:r>
              <w:rPr>
                <w:rFonts w:hint="eastAsia" w:ascii="宋体" w:cs="宋体"/>
                <w:sz w:val="18"/>
                <w:szCs w:val="18"/>
              </w:rPr>
              <w:t xml:space="preserve">工程招标 </w:t>
            </w:r>
            <w:r>
              <w:rPr>
                <w:rFonts w:ascii="宋体" w:cs="宋体"/>
                <w:sz w:val="18"/>
                <w:szCs w:val="18"/>
              </w:rPr>
              <w:t xml:space="preserve">  </w:t>
            </w:r>
            <w:r>
              <w:rPr>
                <w:rFonts w:hint="eastAsia" w:ascii="宋体" w:cs="宋体"/>
                <w:sz w:val="18"/>
                <w:szCs w:val="18"/>
              </w:rPr>
              <w:t xml:space="preserve"> </w:t>
            </w:r>
            <w:r>
              <w:rPr>
                <w:rFonts w:hint="eastAsia" w:ascii="黑体" w:eastAsia="黑体" w:cs="黑体"/>
                <w:spacing w:val="2"/>
                <w:position w:val="2"/>
                <w:sz w:val="21"/>
                <w:szCs w:val="21"/>
              </w:rPr>
              <w:t>√</w:t>
            </w:r>
            <w:r>
              <w:rPr>
                <w:rFonts w:hint="eastAsia" w:ascii="宋体" w:cs="宋体"/>
                <w:sz w:val="18"/>
                <w:szCs w:val="18"/>
              </w:rPr>
              <w:t xml:space="preserve">货物招标 </w:t>
            </w:r>
            <w:r>
              <w:rPr>
                <w:rFonts w:ascii="宋体" w:cs="宋体"/>
                <w:sz w:val="18"/>
                <w:szCs w:val="18"/>
              </w:rPr>
              <w:t xml:space="preserve">  </w:t>
            </w:r>
            <w:r>
              <w:rPr>
                <w:rFonts w:hint="eastAsia" w:ascii="宋体" w:cs="宋体"/>
                <w:sz w:val="18"/>
                <w:szCs w:val="18"/>
              </w:rPr>
              <w:t xml:space="preserve"> </w:t>
            </w:r>
            <w:r>
              <w:rPr>
                <w:rFonts w:hint="eastAsia" w:ascii="宋体" w:cs="宋体"/>
                <w:sz w:val="18"/>
                <w:szCs w:val="18"/>
              </w:rPr>
              <w:sym w:font="Wingdings 2" w:char="00A3"/>
            </w:r>
            <w:r>
              <w:rPr>
                <w:rFonts w:hint="eastAsia" w:ascii="宋体" w:cs="宋体"/>
                <w:sz w:val="18"/>
                <w:szCs w:val="18"/>
              </w:rPr>
              <w:t>服务招标</w:t>
            </w:r>
          </w:p>
        </w:tc>
      </w:tr>
      <w:tr w14:paraId="640C3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8659" w:type="dxa"/>
            <w:vAlign w:val="center"/>
          </w:tcPr>
          <w:p w14:paraId="78EAEF0F">
            <w:pPr>
              <w:rPr>
                <w:rFonts w:cs="宋体"/>
                <w:color w:val="000000"/>
                <w:spacing w:val="-15"/>
                <w:sz w:val="24"/>
                <w:szCs w:val="24"/>
              </w:rPr>
            </w:pPr>
            <w:r>
              <w:rPr>
                <w:rFonts w:hint="eastAsia" w:ascii="宋体" w:cs="宋体"/>
                <w:sz w:val="18"/>
                <w:szCs w:val="18"/>
              </w:rPr>
              <w:t>招标内容：</w:t>
            </w:r>
            <w:r>
              <w:rPr>
                <w:rFonts w:hint="eastAsia" w:cs="宋体"/>
                <w:color w:val="000000"/>
                <w:spacing w:val="-15"/>
                <w:sz w:val="24"/>
                <w:szCs w:val="24"/>
              </w:rPr>
              <w:t>因202</w:t>
            </w:r>
            <w:r>
              <w:rPr>
                <w:rFonts w:cs="宋体"/>
                <w:color w:val="000000"/>
                <w:spacing w:val="-15"/>
                <w:sz w:val="24"/>
                <w:szCs w:val="24"/>
              </w:rPr>
              <w:t>6</w:t>
            </w:r>
            <w:r>
              <w:rPr>
                <w:rFonts w:hint="eastAsia" w:cs="宋体"/>
                <w:color w:val="000000"/>
                <w:spacing w:val="-15"/>
                <w:sz w:val="24"/>
                <w:szCs w:val="24"/>
              </w:rPr>
              <w:t>年粉煤灰</w:t>
            </w:r>
            <w:r>
              <w:rPr>
                <w:rFonts w:cs="宋体"/>
                <w:color w:val="000000"/>
                <w:spacing w:val="-15"/>
                <w:sz w:val="24"/>
                <w:szCs w:val="24"/>
              </w:rPr>
              <w:t>炉渣</w:t>
            </w:r>
            <w:r>
              <w:rPr>
                <w:rFonts w:hint="eastAsia" w:cs="宋体"/>
                <w:color w:val="000000"/>
                <w:spacing w:val="-15"/>
                <w:sz w:val="24"/>
                <w:szCs w:val="24"/>
              </w:rPr>
              <w:t>（</w:t>
            </w:r>
            <w:r>
              <w:rPr>
                <w:rFonts w:cs="宋体"/>
                <w:color w:val="000000"/>
                <w:spacing w:val="-15"/>
                <w:sz w:val="24"/>
                <w:szCs w:val="24"/>
              </w:rPr>
              <w:t>湿灰</w:t>
            </w:r>
            <w:r>
              <w:rPr>
                <w:rFonts w:hint="eastAsia" w:cs="宋体"/>
                <w:color w:val="000000"/>
                <w:spacing w:val="-15"/>
                <w:sz w:val="24"/>
                <w:szCs w:val="24"/>
              </w:rPr>
              <w:t>）</w:t>
            </w:r>
            <w:r>
              <w:rPr>
                <w:rFonts w:cs="宋体"/>
                <w:color w:val="000000"/>
                <w:spacing w:val="-15"/>
                <w:sz w:val="24"/>
                <w:szCs w:val="24"/>
              </w:rPr>
              <w:t>国隆公司下游公司停产终止合同</w:t>
            </w:r>
            <w:r>
              <w:rPr>
                <w:rFonts w:hint="eastAsia" w:cs="宋体"/>
                <w:color w:val="000000"/>
                <w:spacing w:val="-15"/>
                <w:sz w:val="24"/>
                <w:szCs w:val="24"/>
              </w:rPr>
              <w:t>，需对202</w:t>
            </w:r>
            <w:r>
              <w:rPr>
                <w:rFonts w:cs="宋体"/>
                <w:color w:val="000000"/>
                <w:spacing w:val="-15"/>
                <w:sz w:val="24"/>
                <w:szCs w:val="24"/>
              </w:rPr>
              <w:t>6</w:t>
            </w:r>
            <w:r>
              <w:rPr>
                <w:rFonts w:hint="eastAsia" w:cs="宋体"/>
                <w:color w:val="000000"/>
                <w:spacing w:val="-15"/>
                <w:sz w:val="24"/>
                <w:szCs w:val="24"/>
              </w:rPr>
              <w:t>年</w:t>
            </w:r>
            <w:r>
              <w:rPr>
                <w:rFonts w:hint="eastAsia" w:ascii="仿宋" w:eastAsia="仿宋" w:cs="仿宋"/>
                <w:sz w:val="24"/>
                <w:szCs w:val="24"/>
                <w:lang w:bidi="ar-SA"/>
              </w:rPr>
              <w:t>2026年</w:t>
            </w:r>
            <w:r>
              <w:rPr>
                <w:rFonts w:ascii="仿宋" w:eastAsia="仿宋" w:cs="仿宋"/>
                <w:sz w:val="24"/>
                <w:szCs w:val="24"/>
                <w:lang w:bidi="ar-SA"/>
              </w:rPr>
              <w:t>7</w:t>
            </w:r>
            <w:r>
              <w:rPr>
                <w:rFonts w:hint="eastAsia" w:ascii="仿宋" w:eastAsia="仿宋" w:cs="仿宋"/>
                <w:sz w:val="24"/>
                <w:szCs w:val="24"/>
                <w:lang w:bidi="ar-SA"/>
              </w:rPr>
              <w:t>月1</w:t>
            </w:r>
            <w:r>
              <w:rPr>
                <w:rFonts w:ascii="仿宋" w:eastAsia="仿宋" w:cs="仿宋"/>
                <w:sz w:val="24"/>
                <w:szCs w:val="24"/>
                <w:lang w:bidi="ar-SA"/>
              </w:rPr>
              <w:t>3</w:t>
            </w:r>
            <w:r>
              <w:rPr>
                <w:rFonts w:hint="eastAsia" w:ascii="仿宋" w:eastAsia="仿宋" w:cs="仿宋"/>
                <w:sz w:val="24"/>
                <w:szCs w:val="24"/>
                <w:lang w:bidi="ar-SA"/>
              </w:rPr>
              <w:t>日起至2026年12 月 31日</w:t>
            </w:r>
            <w:r>
              <w:rPr>
                <w:rFonts w:hint="eastAsia" w:cs="宋体"/>
                <w:color w:val="000000"/>
                <w:spacing w:val="-15"/>
                <w:sz w:val="24"/>
                <w:szCs w:val="24"/>
              </w:rPr>
              <w:t>粉煤灰</w:t>
            </w:r>
            <w:r>
              <w:rPr>
                <w:rFonts w:cs="宋体"/>
                <w:color w:val="000000"/>
                <w:spacing w:val="-15"/>
                <w:sz w:val="24"/>
                <w:szCs w:val="24"/>
              </w:rPr>
              <w:t>炉渣</w:t>
            </w:r>
            <w:r>
              <w:rPr>
                <w:rFonts w:hint="eastAsia" w:cs="宋体"/>
                <w:color w:val="000000"/>
                <w:spacing w:val="-15"/>
                <w:sz w:val="24"/>
                <w:szCs w:val="24"/>
              </w:rPr>
              <w:t>（</w:t>
            </w:r>
            <w:r>
              <w:rPr>
                <w:rFonts w:cs="宋体"/>
                <w:color w:val="000000"/>
                <w:spacing w:val="-15"/>
                <w:sz w:val="24"/>
                <w:szCs w:val="24"/>
              </w:rPr>
              <w:t>湿灰2.5万吨..</w:t>
            </w:r>
            <w:r>
              <w:rPr>
                <w:rFonts w:hint="eastAsia" w:cs="宋体"/>
                <w:color w:val="000000"/>
                <w:spacing w:val="-15"/>
                <w:sz w:val="24"/>
                <w:szCs w:val="24"/>
              </w:rPr>
              <w:t>）</w:t>
            </w:r>
            <w:r>
              <w:rPr>
                <w:rFonts w:cs="宋体"/>
                <w:color w:val="000000"/>
                <w:spacing w:val="-15"/>
                <w:sz w:val="24"/>
                <w:szCs w:val="24"/>
              </w:rPr>
              <w:t>进行重新</w:t>
            </w:r>
            <w:r>
              <w:rPr>
                <w:rFonts w:hint="eastAsia" w:cs="宋体"/>
                <w:color w:val="000000"/>
                <w:spacing w:val="-15"/>
                <w:sz w:val="24"/>
                <w:szCs w:val="24"/>
              </w:rPr>
              <w:t>招标</w:t>
            </w:r>
            <w:r>
              <w:rPr>
                <w:rFonts w:cs="宋体"/>
                <w:color w:val="000000"/>
                <w:spacing w:val="-15"/>
                <w:sz w:val="24"/>
                <w:szCs w:val="24"/>
              </w:rPr>
              <w:t>.。</w:t>
            </w:r>
          </w:p>
        </w:tc>
      </w:tr>
      <w:tr w14:paraId="64DA9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8659" w:type="dxa"/>
            <w:vAlign w:val="center"/>
          </w:tcPr>
          <w:p w14:paraId="027EBF4C">
            <w:pPr>
              <w:rPr>
                <w:rFonts w:ascii="宋体" w:cs="宋体"/>
                <w:sz w:val="18"/>
                <w:szCs w:val="18"/>
              </w:rPr>
            </w:pPr>
            <w:r>
              <w:rPr>
                <w:rFonts w:hint="eastAsia" w:ascii="宋体" w:cs="宋体"/>
                <w:sz w:val="18"/>
                <w:szCs w:val="18"/>
              </w:rPr>
              <w:t>估算金额：</w:t>
            </w:r>
            <w:r>
              <w:rPr>
                <w:rFonts w:ascii="宋体" w:cs="宋体"/>
                <w:sz w:val="18"/>
                <w:szCs w:val="18"/>
              </w:rPr>
              <w:t>湿灰20万</w:t>
            </w:r>
          </w:p>
        </w:tc>
      </w:tr>
      <w:tr w14:paraId="43E3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3" w:hRule="atLeast"/>
        </w:trPr>
        <w:tc>
          <w:tcPr>
            <w:tcW w:w="8659" w:type="dxa"/>
          </w:tcPr>
          <w:p w14:paraId="66B2F240">
            <w:pPr>
              <w:ind w:firstLine="600" w:firstLineChars="250"/>
              <w:rPr>
                <w:rFonts w:hint="eastAsia" w:ascii="仿宋" w:eastAsia="仿宋" w:cs="宋体"/>
                <w:sz w:val="24"/>
                <w:szCs w:val="24"/>
              </w:rPr>
            </w:pPr>
            <w:r>
              <w:rPr>
                <w:rFonts w:hint="eastAsia" w:ascii="仿宋" w:eastAsia="仿宋" w:cs="宋体"/>
                <w:sz w:val="24"/>
                <w:szCs w:val="24"/>
              </w:rPr>
              <w:t>公告内容：</w:t>
            </w:r>
          </w:p>
          <w:p w14:paraId="4A4B83DB">
            <w:pPr>
              <w:numPr>
                <w:ilvl w:val="0"/>
                <w:numId w:val="1"/>
              </w:numPr>
              <w:rPr>
                <w:rFonts w:hint="eastAsia" w:ascii="仿宋" w:eastAsia="仿宋" w:cs="Arial"/>
                <w:sz w:val="24"/>
                <w:szCs w:val="24"/>
              </w:rPr>
            </w:pPr>
            <w:r>
              <w:rPr>
                <w:rFonts w:hint="eastAsia" w:ascii="仿宋" w:eastAsia="仿宋" w:cs="Arial"/>
                <w:sz w:val="24"/>
                <w:szCs w:val="24"/>
              </w:rPr>
              <w:t>参与竞价资格条件</w:t>
            </w:r>
          </w:p>
          <w:p w14:paraId="4EB158FF">
            <w:pPr>
              <w:ind w:firstLine="0"/>
              <w:rPr>
                <w:rFonts w:hint="eastAsia" w:ascii="仿宋" w:eastAsia="仿宋"/>
                <w:b/>
                <w:bCs/>
                <w:sz w:val="24"/>
                <w:szCs w:val="24"/>
              </w:rPr>
            </w:pPr>
            <w:r>
              <w:rPr>
                <w:rFonts w:hint="eastAsia" w:ascii="仿宋" w:eastAsia="仿宋" w:cs="Arial"/>
                <w:sz w:val="24"/>
                <w:szCs w:val="24"/>
              </w:rPr>
              <w:t>竞价人应具有圆满履行合同的能力，具体应符合下列所有条件：</w:t>
            </w:r>
          </w:p>
          <w:p w14:paraId="40898DD4">
            <w:pPr>
              <w:numPr>
                <w:ilvl w:val="0"/>
                <w:numId w:val="2"/>
              </w:numPr>
              <w:snapToGrid w:val="0"/>
              <w:spacing w:line="320" w:lineRule="exact"/>
              <w:rPr>
                <w:rFonts w:hint="eastAsia" w:ascii="仿宋" w:eastAsia="仿宋" w:cs="仿宋"/>
                <w:b/>
                <w:bCs/>
                <w:color w:val="FF0000"/>
                <w:sz w:val="24"/>
                <w:szCs w:val="24"/>
              </w:rPr>
            </w:pPr>
            <w:r>
              <w:rPr>
                <w:rFonts w:hint="eastAsia" w:ascii="仿宋" w:eastAsia="仿宋" w:cs="仿宋"/>
                <w:b/>
                <w:bCs/>
                <w:color w:val="FF0000"/>
                <w:sz w:val="24"/>
                <w:szCs w:val="24"/>
                <w:lang w:bidi="ar-SA"/>
              </w:rPr>
              <w:t>必须有固废网联单闭合处置能力的终端客户委托书并能与合同销售量对应的处置量（签订三方协议）</w:t>
            </w:r>
            <w:r>
              <w:rPr>
                <w:rFonts w:hint="eastAsia" w:ascii="仿宋" w:eastAsia="仿宋" w:cs="仿宋"/>
                <w:b/>
                <w:bCs/>
                <w:sz w:val="24"/>
                <w:szCs w:val="24"/>
                <w:lang w:bidi="ar-SA"/>
              </w:rPr>
              <w:t>；</w:t>
            </w:r>
          </w:p>
          <w:p w14:paraId="1193CE1A">
            <w:pPr>
              <w:pStyle w:val="9"/>
              <w:numPr>
                <w:ilvl w:val="0"/>
                <w:numId w:val="3"/>
              </w:numPr>
              <w:snapToGrid w:val="0"/>
              <w:spacing w:line="320" w:lineRule="exact"/>
              <w:ind w:firstLineChars="0"/>
              <w:rPr>
                <w:rFonts w:hint="eastAsia" w:ascii="仿宋" w:eastAsia="仿宋" w:cs="仿宋"/>
                <w:sz w:val="24"/>
                <w:szCs w:val="24"/>
              </w:rPr>
            </w:pPr>
            <w:r>
              <w:rPr>
                <w:rFonts w:hint="eastAsia" w:ascii="仿宋" w:eastAsia="仿宋" w:cs="仿宋"/>
                <w:sz w:val="24"/>
                <w:szCs w:val="24"/>
              </w:rPr>
              <w:t>注册资本金不低于50万元；具有建材加工销售或粉煤灰销售或化工产品（原料）销售的经营范围等；</w:t>
            </w:r>
          </w:p>
          <w:p w14:paraId="4F244083">
            <w:pPr>
              <w:snapToGrid w:val="0"/>
              <w:spacing w:line="320" w:lineRule="exact"/>
              <w:ind w:left="960" w:leftChars="120" w:hanging="600" w:hangingChars="250"/>
              <w:rPr>
                <w:rFonts w:hint="eastAsia" w:ascii="仿宋" w:eastAsia="仿宋" w:cs="仿宋"/>
                <w:sz w:val="24"/>
                <w:szCs w:val="24"/>
              </w:rPr>
            </w:pPr>
            <w:r>
              <w:rPr>
                <w:rFonts w:hint="eastAsia" w:ascii="仿宋" w:eastAsia="仿宋" w:cs="仿宋"/>
                <w:sz w:val="24"/>
                <w:szCs w:val="24"/>
              </w:rPr>
              <w:t>（3）具有独立订立并履行合同的能力；有良好的银行资信和商业信誉，没有处于被责令停业，财产被接管或冻结、破产状态；</w:t>
            </w:r>
          </w:p>
          <w:p w14:paraId="21F70A34">
            <w:pPr>
              <w:snapToGrid w:val="0"/>
              <w:spacing w:line="320" w:lineRule="exact"/>
              <w:ind w:left="960" w:leftChars="120" w:hanging="600" w:hangingChars="250"/>
              <w:rPr>
                <w:rFonts w:hint="eastAsia" w:ascii="仿宋" w:eastAsia="仿宋" w:cs="仿宋"/>
                <w:sz w:val="24"/>
                <w:szCs w:val="24"/>
              </w:rPr>
            </w:pPr>
            <w:r>
              <w:rPr>
                <w:rFonts w:hint="eastAsia" w:ascii="仿宋" w:eastAsia="仿宋" w:cs="仿宋"/>
                <w:sz w:val="24"/>
                <w:szCs w:val="24"/>
              </w:rPr>
              <w:t>（4）有生产企业堆灰协议（场地所在地点和面积等）；租用终端客户自有的堆灰场地需提供租用协议；</w:t>
            </w:r>
          </w:p>
          <w:p w14:paraId="38EBFEF8">
            <w:pPr>
              <w:snapToGrid w:val="0"/>
              <w:spacing w:line="320" w:lineRule="exact"/>
              <w:ind w:firstLine="482" w:firstLineChars="200"/>
              <w:rPr>
                <w:rFonts w:hint="eastAsia" w:ascii="仿宋" w:eastAsia="仿宋" w:cs="仿宋"/>
                <w:b/>
                <w:bCs/>
                <w:sz w:val="24"/>
                <w:szCs w:val="24"/>
              </w:rPr>
            </w:pPr>
            <w:r>
              <w:rPr>
                <w:rFonts w:hint="eastAsia" w:ascii="仿宋" w:eastAsia="仿宋" w:cs="仿宋"/>
                <w:b/>
                <w:bCs/>
                <w:sz w:val="24"/>
                <w:szCs w:val="24"/>
                <w:lang w:bidi="ar-SA"/>
              </w:rPr>
              <w:t>(5)有需符合环保政策要求的（新能源车）运输</w:t>
            </w:r>
            <w:r>
              <w:rPr>
                <w:rFonts w:ascii="仿宋" w:eastAsia="仿宋" w:cs="仿宋"/>
                <w:b/>
                <w:bCs/>
                <w:sz w:val="24"/>
                <w:szCs w:val="24"/>
                <w:lang w:bidi="ar-SA"/>
              </w:rPr>
              <w:t>车辆</w:t>
            </w:r>
            <w:r>
              <w:rPr>
                <w:rFonts w:hint="eastAsia" w:ascii="仿宋" w:eastAsia="仿宋" w:cs="仿宋"/>
                <w:b/>
                <w:bCs/>
                <w:sz w:val="24"/>
                <w:szCs w:val="24"/>
                <w:lang w:bidi="ar-SA"/>
              </w:rPr>
              <w:t>投标人；</w:t>
            </w:r>
          </w:p>
          <w:p w14:paraId="3510FC81">
            <w:pPr>
              <w:snapToGrid w:val="0"/>
              <w:spacing w:line="320" w:lineRule="exact"/>
              <w:ind w:firstLine="480" w:firstLineChars="200"/>
              <w:rPr>
                <w:rFonts w:hint="eastAsia" w:ascii="仿宋" w:eastAsia="仿宋" w:cs="仿宋"/>
                <w:sz w:val="24"/>
                <w:szCs w:val="24"/>
              </w:rPr>
            </w:pPr>
            <w:r>
              <w:rPr>
                <w:rFonts w:hint="eastAsia" w:ascii="仿宋" w:eastAsia="仿宋" w:cs="仿宋"/>
                <w:sz w:val="24"/>
                <w:szCs w:val="24"/>
              </w:rPr>
              <w:t>(6)未被巨化集团有限公司列入业务禁入名单的企业；</w:t>
            </w:r>
          </w:p>
          <w:p w14:paraId="3987B579">
            <w:pPr>
              <w:snapToGrid w:val="0"/>
              <w:spacing w:line="320" w:lineRule="exact"/>
              <w:ind w:firstLine="480" w:firstLineChars="200"/>
              <w:rPr>
                <w:rFonts w:hint="eastAsia" w:ascii="仿宋" w:eastAsia="仿宋" w:cs="仿宋"/>
                <w:sz w:val="24"/>
                <w:szCs w:val="24"/>
              </w:rPr>
            </w:pPr>
            <w:r>
              <w:rPr>
                <w:rFonts w:hint="eastAsia" w:ascii="仿宋" w:eastAsia="仿宋" w:cs="仿宋"/>
                <w:sz w:val="24"/>
                <w:szCs w:val="24"/>
              </w:rPr>
              <w:t>(7)本次招标不接受联合体投标。</w:t>
            </w:r>
          </w:p>
          <w:p w14:paraId="0D1009EA">
            <w:pPr>
              <w:snapToGrid w:val="0"/>
              <w:spacing w:line="320" w:lineRule="exact"/>
              <w:ind w:left="0" w:firstLine="240" w:firstLineChars="100"/>
              <w:rPr>
                <w:rFonts w:hint="eastAsia" w:ascii="仿宋" w:eastAsia="仿宋" w:cs="仿宋"/>
                <w:sz w:val="24"/>
                <w:szCs w:val="24"/>
              </w:rPr>
            </w:pPr>
            <w:r>
              <w:rPr>
                <w:rFonts w:hint="eastAsia" w:ascii="仿宋" w:eastAsia="仿宋" w:cs="仿宋"/>
                <w:sz w:val="24"/>
                <w:szCs w:val="24"/>
              </w:rPr>
              <w:t>二、报名时所需提供的证件及资料：</w:t>
            </w:r>
          </w:p>
          <w:p w14:paraId="530B1975">
            <w:pPr>
              <w:snapToGrid w:val="0"/>
              <w:spacing w:line="320" w:lineRule="exact"/>
              <w:ind w:firstLine="600" w:firstLineChars="250"/>
              <w:rPr>
                <w:rFonts w:hint="eastAsia" w:ascii="仿宋" w:eastAsia="仿宋" w:cs="仿宋"/>
                <w:sz w:val="24"/>
                <w:szCs w:val="24"/>
              </w:rPr>
            </w:pPr>
            <w:r>
              <w:rPr>
                <w:rFonts w:hint="eastAsia" w:ascii="仿宋" w:eastAsia="仿宋" w:cs="仿宋"/>
                <w:sz w:val="24"/>
                <w:szCs w:val="24"/>
              </w:rPr>
              <w:t>企业法人营业执照副本，法定代表人授权委托书及被委托人身份证原件，上述所需提供证件及复印件均需加盖公章。</w:t>
            </w:r>
          </w:p>
          <w:p w14:paraId="3D343081">
            <w:pPr>
              <w:snapToGrid w:val="0"/>
              <w:spacing w:line="320" w:lineRule="exact"/>
              <w:ind w:firstLine="480" w:firstLineChars="200"/>
              <w:rPr>
                <w:rFonts w:hint="eastAsia" w:ascii="仿宋" w:eastAsia="仿宋" w:cs="仿宋"/>
                <w:sz w:val="24"/>
                <w:szCs w:val="24"/>
                <w:highlight w:val="yellow"/>
              </w:rPr>
            </w:pPr>
            <w:r>
              <w:rPr>
                <w:rFonts w:hint="eastAsia" w:ascii="仿宋" w:eastAsia="仿宋" w:cs="仿宋"/>
                <w:color w:val="FF0000"/>
                <w:sz w:val="24"/>
                <w:szCs w:val="24"/>
              </w:rPr>
              <w:t>三、投标保证金：</w:t>
            </w:r>
            <w:r>
              <w:rPr>
                <w:rFonts w:hint="eastAsia" w:ascii="仿宋" w:eastAsia="仿宋" w:cs="仿宋"/>
                <w:sz w:val="24"/>
                <w:szCs w:val="24"/>
                <w:highlight w:val="yellow"/>
              </w:rPr>
              <w:t>湿灰：人民币</w:t>
            </w:r>
            <w:r>
              <w:rPr>
                <w:rFonts w:ascii="仿宋" w:eastAsia="仿宋" w:cs="仿宋"/>
                <w:sz w:val="24"/>
                <w:szCs w:val="24"/>
                <w:highlight w:val="yellow"/>
              </w:rPr>
              <w:t>伍</w:t>
            </w:r>
            <w:r>
              <w:rPr>
                <w:rFonts w:hint="eastAsia" w:ascii="仿宋" w:eastAsia="仿宋" w:cs="仿宋"/>
                <w:b/>
                <w:bCs/>
                <w:sz w:val="24"/>
                <w:szCs w:val="24"/>
                <w:highlight w:val="yellow"/>
              </w:rPr>
              <w:t>万元</w:t>
            </w:r>
            <w:r>
              <w:rPr>
                <w:rFonts w:hint="eastAsia" w:ascii="仿宋" w:eastAsia="仿宋" w:cs="仿宋"/>
                <w:sz w:val="24"/>
                <w:szCs w:val="24"/>
                <w:highlight w:val="yellow"/>
              </w:rPr>
              <w:t>。</w:t>
            </w:r>
          </w:p>
          <w:p w14:paraId="35CF39E4">
            <w:pPr>
              <w:adjustRightInd w:val="0"/>
              <w:snapToGrid w:val="0"/>
              <w:spacing w:line="320" w:lineRule="exact"/>
              <w:ind w:firstLine="240" w:firstLineChars="100"/>
              <w:rPr>
                <w:rFonts w:hint="eastAsia" w:ascii="仿宋" w:eastAsia="仿宋" w:cs="宋体"/>
                <w:b/>
                <w:bCs/>
                <w:color w:val="FF0000"/>
                <w:sz w:val="24"/>
                <w:szCs w:val="24"/>
              </w:rPr>
            </w:pPr>
            <w:r>
              <w:rPr>
                <w:rFonts w:hint="eastAsia" w:ascii="仿宋" w:eastAsia="仿宋" w:cs="宋体"/>
                <w:bCs/>
                <w:color w:val="FF0000"/>
                <w:sz w:val="24"/>
                <w:szCs w:val="24"/>
              </w:rPr>
              <w:t>四、中标候选人选取规则</w:t>
            </w:r>
          </w:p>
          <w:p w14:paraId="185F8817">
            <w:pPr>
              <w:adjustRightInd w:val="0"/>
              <w:snapToGrid w:val="0"/>
              <w:spacing w:line="320" w:lineRule="exact"/>
              <w:ind w:left="0" w:firstLine="240" w:firstLineChars="100"/>
              <w:rPr>
                <w:rFonts w:hint="eastAsia" w:ascii="仿宋" w:eastAsia="仿宋" w:cs="仿宋"/>
                <w:color w:val="FF0000"/>
                <w:sz w:val="24"/>
                <w:szCs w:val="24"/>
              </w:rPr>
            </w:pPr>
            <w:r>
              <w:rPr>
                <w:rFonts w:hint="eastAsia" w:ascii="仿宋" w:eastAsia="仿宋" w:cs="宋体"/>
                <w:bCs/>
                <w:color w:val="FF0000"/>
                <w:sz w:val="24"/>
                <w:szCs w:val="24"/>
              </w:rPr>
              <w:t>中标候选人选取规则：湿灰所有参加投标单位投标报价高于最低限价的最高价中标（</w:t>
            </w:r>
            <w:r>
              <w:rPr>
                <w:rFonts w:ascii="仿宋" w:eastAsia="仿宋" w:cs="宋体"/>
                <w:bCs/>
                <w:color w:val="FF0000"/>
                <w:sz w:val="24"/>
                <w:szCs w:val="24"/>
              </w:rPr>
              <w:t>1</w:t>
            </w:r>
            <w:r>
              <w:rPr>
                <w:rFonts w:hint="eastAsia" w:ascii="仿宋" w:eastAsia="仿宋" w:cs="宋体"/>
                <w:bCs/>
                <w:color w:val="FF0000"/>
                <w:sz w:val="24"/>
                <w:szCs w:val="24"/>
              </w:rPr>
              <w:t>家）。</w:t>
            </w:r>
          </w:p>
          <w:p w14:paraId="65C34030">
            <w:pPr>
              <w:snapToGrid w:val="0"/>
              <w:spacing w:line="320" w:lineRule="exact"/>
              <w:ind w:left="0" w:right="150" w:rightChars="50" w:firstLine="240" w:firstLineChars="100"/>
              <w:rPr>
                <w:rFonts w:hint="eastAsia" w:ascii="仿宋" w:eastAsia="仿宋" w:cs="仿宋"/>
                <w:b/>
                <w:bCs/>
                <w:color w:val="C0504D"/>
                <w:sz w:val="24"/>
                <w:szCs w:val="24"/>
                <w:highlight w:val="yellow"/>
                <w:lang w:bidi="ar-SA"/>
              </w:rPr>
            </w:pPr>
            <w:r>
              <w:rPr>
                <w:rFonts w:hint="eastAsia" w:ascii="仿宋" w:eastAsia="仿宋" w:cs="仿宋"/>
                <w:color w:val="FF0000"/>
                <w:sz w:val="24"/>
                <w:szCs w:val="24"/>
              </w:rPr>
              <w:t>五、</w:t>
            </w:r>
            <w:r>
              <w:rPr>
                <w:rFonts w:hint="eastAsia" w:ascii="仿宋" w:eastAsia="仿宋" w:cs="仿宋"/>
                <w:b/>
                <w:bCs/>
                <w:color w:val="C0504D"/>
                <w:sz w:val="24"/>
                <w:szCs w:val="24"/>
                <w:highlight w:val="yellow"/>
                <w:lang w:bidi="ar-SA"/>
              </w:rPr>
              <w:t>合同</w:t>
            </w:r>
            <w:r>
              <w:rPr>
                <w:rFonts w:hint="eastAsia" w:ascii="仿宋" w:eastAsia="仿宋" w:cs="仿宋"/>
                <w:b/>
                <w:bCs/>
                <w:color w:val="C0504D"/>
                <w:sz w:val="24"/>
                <w:szCs w:val="24"/>
                <w:highlight w:val="yellow"/>
              </w:rPr>
              <w:t>价格</w:t>
            </w:r>
            <w:r>
              <w:rPr>
                <w:rFonts w:hint="eastAsia" w:ascii="仿宋" w:eastAsia="仿宋" w:cs="仿宋"/>
                <w:b/>
                <w:bCs/>
                <w:color w:val="C0504D"/>
                <w:sz w:val="24"/>
                <w:szCs w:val="24"/>
                <w:highlight w:val="yellow"/>
                <w:lang w:bidi="ar-SA"/>
              </w:rPr>
              <w:t>的确定</w:t>
            </w:r>
          </w:p>
          <w:p w14:paraId="318FBDE1">
            <w:pPr>
              <w:snapToGrid w:val="0"/>
              <w:spacing w:line="320" w:lineRule="exact"/>
              <w:ind w:right="150" w:rightChars="50" w:firstLine="482" w:firstLineChars="200"/>
              <w:rPr>
                <w:rFonts w:hint="eastAsia" w:ascii="仿宋" w:eastAsia="仿宋" w:cs="仿宋"/>
                <w:b/>
                <w:bCs/>
                <w:color w:val="C0504D"/>
                <w:sz w:val="24"/>
                <w:szCs w:val="24"/>
                <w:highlight w:val="yellow"/>
              </w:rPr>
            </w:pPr>
            <w:r>
              <w:rPr>
                <w:rFonts w:hint="eastAsia" w:ascii="仿宋" w:eastAsia="仿宋" w:cs="仿宋"/>
                <w:b/>
                <w:bCs/>
                <w:color w:val="C0504D"/>
                <w:sz w:val="24"/>
                <w:szCs w:val="24"/>
                <w:highlight w:val="yellow"/>
                <w:lang w:bidi="ar-SA"/>
              </w:rPr>
              <w:t>符合条款条件的湿灰</w:t>
            </w:r>
            <w:r>
              <w:rPr>
                <w:rFonts w:hint="eastAsia" w:ascii="仿宋" w:eastAsia="仿宋" w:cs="黑体"/>
                <w:b/>
                <w:bCs/>
                <w:color w:val="C0504D"/>
                <w:sz w:val="24"/>
                <w:szCs w:val="24"/>
                <w:highlight w:val="yellow"/>
                <w:lang w:bidi="ar-SA"/>
              </w:rPr>
              <w:t>最高价</w:t>
            </w:r>
            <w:r>
              <w:rPr>
                <w:rFonts w:hint="eastAsia" w:ascii="仿宋" w:eastAsia="仿宋" w:cs="仿宋"/>
                <w:b/>
                <w:bCs/>
                <w:color w:val="C0504D"/>
                <w:sz w:val="24"/>
                <w:szCs w:val="24"/>
                <w:highlight w:val="yellow"/>
                <w:lang w:bidi="ar-SA"/>
              </w:rPr>
              <w:t>为合同价（精确到元）。</w:t>
            </w:r>
          </w:p>
          <w:p w14:paraId="0D81E4D6">
            <w:pPr>
              <w:ind w:left="0" w:firstLine="241" w:firstLineChars="100"/>
              <w:rPr>
                <w:rFonts w:ascii="仿宋" w:eastAsia="仿宋" w:cs="黑体"/>
                <w:b/>
                <w:bCs/>
                <w:sz w:val="24"/>
                <w:szCs w:val="24"/>
              </w:rPr>
            </w:pPr>
            <w:r>
              <w:rPr>
                <w:rFonts w:ascii="仿宋" w:eastAsia="仿宋" w:cs="宋体"/>
                <w:b/>
                <w:bCs/>
                <w:sz w:val="24"/>
                <w:szCs w:val="24"/>
              </w:rPr>
              <w:t>六</w:t>
            </w:r>
            <w:r>
              <w:rPr>
                <w:rFonts w:hint="eastAsia" w:ascii="仿宋" w:eastAsia="仿宋" w:cs="宋体"/>
                <w:b/>
                <w:bCs/>
                <w:sz w:val="24"/>
                <w:szCs w:val="24"/>
              </w:rPr>
              <w:t>、竞标后，未中标单位的竞价保证金在7个工作日内退还。中标单位的竞价保证金可转为合同履约保证金；如中标方不能按要求签订合同履约的，则所缴纳的竞价保证金作为违约补偿金，不予退还，</w:t>
            </w:r>
            <w:r>
              <w:rPr>
                <w:rFonts w:hint="eastAsia" w:ascii="仿宋" w:eastAsia="仿宋" w:cs="黑体"/>
                <w:b/>
                <w:bCs/>
                <w:sz w:val="24"/>
                <w:szCs w:val="24"/>
              </w:rPr>
              <w:t>并记入巨化集团有限公司经销商不良记录。</w:t>
            </w:r>
          </w:p>
          <w:p w14:paraId="0495835E">
            <w:pPr>
              <w:ind w:left="0" w:firstLine="240" w:firstLineChars="100"/>
              <w:rPr>
                <w:rFonts w:hint="eastAsia" w:ascii="仿宋" w:eastAsia="仿宋" w:cs="仿宋"/>
                <w:color w:val="FF0000"/>
                <w:sz w:val="24"/>
                <w:szCs w:val="24"/>
              </w:rPr>
            </w:pPr>
          </w:p>
          <w:p w14:paraId="09093174">
            <w:pPr>
              <w:snapToGrid w:val="0"/>
              <w:spacing w:line="320" w:lineRule="exact"/>
              <w:ind w:firstLine="480" w:firstLineChars="200"/>
              <w:rPr>
                <w:rFonts w:hint="eastAsia" w:ascii="仿宋" w:eastAsia="仿宋" w:cs="仿宋"/>
                <w:sz w:val="24"/>
                <w:szCs w:val="24"/>
              </w:rPr>
            </w:pPr>
            <w:r>
              <w:rPr>
                <w:rFonts w:hint="eastAsia" w:ascii="仿宋" w:eastAsia="仿宋" w:cs="仿宋"/>
                <w:sz w:val="24"/>
                <w:szCs w:val="24"/>
              </w:rPr>
              <w:t>招标人：浙江巨化热电有限公司</w:t>
            </w:r>
          </w:p>
          <w:p w14:paraId="7E69F276">
            <w:pPr>
              <w:snapToGrid w:val="0"/>
              <w:spacing w:line="320" w:lineRule="exact"/>
              <w:ind w:firstLine="480" w:firstLineChars="200"/>
              <w:rPr>
                <w:rFonts w:hint="eastAsia" w:ascii="仿宋" w:eastAsia="仿宋" w:cs="仿宋"/>
                <w:sz w:val="24"/>
                <w:szCs w:val="24"/>
              </w:rPr>
            </w:pPr>
            <w:r>
              <w:rPr>
                <w:rFonts w:hint="eastAsia" w:ascii="仿宋" w:eastAsia="仿宋" w:cs="仿宋"/>
                <w:sz w:val="24"/>
                <w:szCs w:val="24"/>
              </w:rPr>
              <w:t>邮编：324004</w:t>
            </w:r>
          </w:p>
          <w:p w14:paraId="4D5B534A">
            <w:pPr>
              <w:snapToGrid w:val="0"/>
              <w:spacing w:line="320" w:lineRule="exact"/>
              <w:ind w:firstLine="480" w:firstLineChars="200"/>
              <w:rPr>
                <w:rFonts w:hint="eastAsia" w:ascii="仿宋" w:eastAsia="仿宋" w:cs="仿宋"/>
                <w:sz w:val="24"/>
                <w:szCs w:val="24"/>
              </w:rPr>
            </w:pPr>
            <w:r>
              <w:rPr>
                <w:rFonts w:hint="eastAsia" w:ascii="仿宋" w:eastAsia="仿宋" w:cs="仿宋"/>
                <w:sz w:val="24"/>
                <w:szCs w:val="24"/>
              </w:rPr>
              <w:t>联系人：周瑞松</w:t>
            </w:r>
          </w:p>
          <w:p w14:paraId="7955C98C">
            <w:pPr>
              <w:snapToGrid w:val="0"/>
              <w:spacing w:line="320" w:lineRule="exact"/>
              <w:ind w:firstLine="480" w:firstLineChars="200"/>
              <w:rPr>
                <w:rFonts w:hint="eastAsia" w:ascii="仿宋" w:eastAsia="仿宋" w:cs="仿宋"/>
                <w:sz w:val="24"/>
                <w:szCs w:val="24"/>
              </w:rPr>
            </w:pPr>
            <w:r>
              <w:rPr>
                <w:rFonts w:hint="eastAsia" w:ascii="仿宋" w:eastAsia="仿宋" w:cs="仿宋"/>
                <w:sz w:val="24"/>
                <w:szCs w:val="24"/>
              </w:rPr>
              <w:t>联系电话：15857098043</w:t>
            </w:r>
          </w:p>
          <w:p w14:paraId="15335E5B">
            <w:pPr>
              <w:snapToGrid w:val="0"/>
              <w:spacing w:line="320" w:lineRule="exact"/>
              <w:ind w:firstLine="480" w:firstLineChars="200"/>
              <w:rPr>
                <w:rFonts w:hint="eastAsia" w:ascii="仿宋" w:eastAsia="仿宋" w:cs="仿宋"/>
                <w:sz w:val="24"/>
                <w:szCs w:val="24"/>
              </w:rPr>
            </w:pPr>
            <w:r>
              <w:rPr>
                <w:rFonts w:hint="eastAsia" w:ascii="仿宋" w:eastAsia="仿宋" w:cs="仿宋"/>
                <w:sz w:val="24"/>
                <w:szCs w:val="24"/>
              </w:rPr>
              <w:t>电子邮件：tdhb163@163.com</w:t>
            </w:r>
          </w:p>
          <w:p w14:paraId="23383AD0">
            <w:pPr>
              <w:snapToGrid w:val="0"/>
              <w:spacing w:line="320" w:lineRule="exact"/>
              <w:ind w:firstLine="480" w:firstLineChars="200"/>
              <w:rPr>
                <w:rFonts w:hint="eastAsia" w:ascii="仿宋" w:eastAsia="仿宋" w:cs="仿宋"/>
                <w:sz w:val="24"/>
                <w:szCs w:val="24"/>
              </w:rPr>
            </w:pPr>
            <w:r>
              <w:rPr>
                <w:rFonts w:hint="eastAsia" w:ascii="仿宋" w:eastAsia="仿宋" w:cs="仿宋"/>
                <w:sz w:val="24"/>
                <w:szCs w:val="24"/>
              </w:rPr>
              <w:t>收款单位：浙江巨化热电有限公司</w:t>
            </w:r>
          </w:p>
          <w:p w14:paraId="0183FB4A">
            <w:pPr>
              <w:snapToGrid w:val="0"/>
              <w:spacing w:line="320" w:lineRule="exact"/>
              <w:ind w:firstLine="480" w:firstLineChars="200"/>
              <w:rPr>
                <w:rFonts w:hint="eastAsia" w:ascii="仿宋" w:eastAsia="仿宋" w:cs="仿宋"/>
                <w:sz w:val="24"/>
                <w:szCs w:val="24"/>
              </w:rPr>
            </w:pPr>
            <w:r>
              <w:rPr>
                <w:rFonts w:hint="eastAsia" w:ascii="仿宋" w:eastAsia="仿宋" w:cs="仿宋"/>
                <w:sz w:val="24"/>
                <w:szCs w:val="24"/>
              </w:rPr>
              <w:t>开户行：工行衢化支行</w:t>
            </w:r>
          </w:p>
          <w:p w14:paraId="6ACFAEDC">
            <w:pPr>
              <w:snapToGrid w:val="0"/>
              <w:spacing w:line="320" w:lineRule="exact"/>
              <w:ind w:firstLine="480" w:firstLineChars="200"/>
              <w:rPr>
                <w:rFonts w:hint="eastAsia" w:ascii="仿宋" w:eastAsia="仿宋" w:cs="仿宋"/>
                <w:sz w:val="24"/>
                <w:szCs w:val="24"/>
              </w:rPr>
            </w:pPr>
            <w:r>
              <w:rPr>
                <w:rFonts w:hint="eastAsia" w:ascii="仿宋" w:eastAsia="仿宋" w:cs="仿宋"/>
                <w:sz w:val="24"/>
                <w:szCs w:val="24"/>
              </w:rPr>
              <w:t>帐号：1209280009021000676</w:t>
            </w:r>
          </w:p>
          <w:tbl>
            <w:tblPr>
              <w:tblStyle w:val="7"/>
              <w:tblW w:w="3463" w:type="dxa"/>
              <w:tblInd w:w="55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463"/>
            </w:tblGrid>
            <w:tr w14:paraId="27C60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463" w:type="dxa"/>
                </w:tcPr>
                <w:p w14:paraId="1ABDDC22">
                  <w:pPr>
                    <w:snapToGrid w:val="0"/>
                    <w:spacing w:line="320" w:lineRule="exact"/>
                    <w:jc w:val="left"/>
                    <w:rPr>
                      <w:rFonts w:hint="eastAsia" w:ascii="仿宋" w:eastAsia="仿宋" w:cs="仿宋"/>
                      <w:sz w:val="24"/>
                      <w:szCs w:val="24"/>
                    </w:rPr>
                  </w:pPr>
                </w:p>
              </w:tc>
            </w:tr>
            <w:tr w14:paraId="6BEAC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463" w:type="dxa"/>
                </w:tcPr>
                <w:p w14:paraId="3B585B61">
                  <w:pPr>
                    <w:snapToGrid w:val="0"/>
                    <w:spacing w:line="320" w:lineRule="exact"/>
                    <w:jc w:val="left"/>
                    <w:rPr>
                      <w:rFonts w:hint="eastAsia" w:ascii="仿宋" w:eastAsia="仿宋" w:cs="仿宋"/>
                      <w:sz w:val="24"/>
                      <w:szCs w:val="24"/>
                    </w:rPr>
                  </w:pPr>
                  <w:r>
                    <w:rPr>
                      <w:rFonts w:hint="eastAsia" w:ascii="仿宋" w:eastAsia="仿宋" w:cs="仿宋"/>
                      <w:sz w:val="24"/>
                      <w:szCs w:val="24"/>
                    </w:rPr>
                    <w:t>202</w:t>
                  </w:r>
                  <w:r>
                    <w:rPr>
                      <w:rFonts w:ascii="仿宋" w:eastAsia="仿宋" w:cs="仿宋"/>
                      <w:sz w:val="24"/>
                      <w:szCs w:val="24"/>
                    </w:rPr>
                    <w:t>6</w:t>
                  </w:r>
                  <w:r>
                    <w:rPr>
                      <w:rFonts w:hint="eastAsia" w:ascii="仿宋" w:eastAsia="仿宋" w:cs="仿宋"/>
                      <w:sz w:val="24"/>
                      <w:szCs w:val="24"/>
                    </w:rPr>
                    <w:t>年</w:t>
                  </w:r>
                  <w:r>
                    <w:rPr>
                      <w:rFonts w:ascii="仿宋" w:eastAsia="仿宋" w:cs="仿宋"/>
                      <w:sz w:val="24"/>
                      <w:szCs w:val="24"/>
                    </w:rPr>
                    <w:t>7</w:t>
                  </w:r>
                  <w:r>
                    <w:rPr>
                      <w:rFonts w:hint="eastAsia" w:ascii="仿宋" w:eastAsia="仿宋" w:cs="仿宋"/>
                      <w:sz w:val="24"/>
                      <w:szCs w:val="24"/>
                    </w:rPr>
                    <w:t>月</w:t>
                  </w:r>
                  <w:r>
                    <w:rPr>
                      <w:rFonts w:ascii="仿宋" w:eastAsia="仿宋" w:cs="仿宋"/>
                      <w:sz w:val="24"/>
                      <w:szCs w:val="24"/>
                    </w:rPr>
                    <w:t>13</w:t>
                  </w:r>
                  <w:r>
                    <w:rPr>
                      <w:rFonts w:hint="eastAsia" w:ascii="仿宋" w:eastAsia="仿宋" w:cs="仿宋"/>
                      <w:sz w:val="24"/>
                      <w:szCs w:val="24"/>
                    </w:rPr>
                    <w:t>日</w:t>
                  </w:r>
                </w:p>
              </w:tc>
            </w:tr>
          </w:tbl>
          <w:p w14:paraId="2482C6BD">
            <w:pPr>
              <w:spacing w:line="420" w:lineRule="exact"/>
              <w:rPr>
                <w:rFonts w:hint="eastAsia" w:ascii="仿宋" w:eastAsia="仿宋" w:cs="宋体"/>
                <w:sz w:val="24"/>
                <w:szCs w:val="24"/>
              </w:rPr>
            </w:pPr>
          </w:p>
        </w:tc>
      </w:tr>
      <w:tr w14:paraId="295D6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trPr>
        <w:tc>
          <w:tcPr>
            <w:tcW w:w="8659" w:type="dxa"/>
          </w:tcPr>
          <w:p w14:paraId="49D90112">
            <w:pPr>
              <w:spacing w:before="204" w:beforeLines="50"/>
              <w:rPr>
                <w:rFonts w:ascii="宋体" w:cs="宋体"/>
                <w:sz w:val="18"/>
                <w:szCs w:val="18"/>
              </w:rPr>
            </w:pPr>
            <w:r>
              <w:rPr>
                <w:rFonts w:hint="eastAsia" w:ascii="宋体" w:cs="宋体"/>
                <w:sz w:val="18"/>
                <w:szCs w:val="18"/>
              </w:rPr>
              <w:t>专业部门:</w:t>
            </w:r>
          </w:p>
          <w:p w14:paraId="6F86EA53">
            <w:pPr>
              <w:spacing w:after="204" w:afterLines="50"/>
              <w:ind w:left="601" w:firstLine="2790" w:firstLineChars="1550"/>
              <w:rPr>
                <w:rFonts w:ascii="宋体" w:cs="宋体"/>
                <w:sz w:val="18"/>
                <w:szCs w:val="18"/>
              </w:rPr>
            </w:pPr>
          </w:p>
        </w:tc>
      </w:tr>
      <w:tr w14:paraId="7C33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8659" w:type="dxa"/>
          </w:tcPr>
          <w:p w14:paraId="1E29F70E">
            <w:pPr>
              <w:spacing w:before="204" w:beforeLines="50"/>
              <w:rPr>
                <w:rFonts w:ascii="宋体" w:cs="宋体"/>
                <w:sz w:val="18"/>
                <w:szCs w:val="18"/>
              </w:rPr>
            </w:pPr>
            <w:r>
              <w:rPr>
                <w:rFonts w:hint="eastAsia" w:ascii="宋体" w:cs="宋体"/>
                <w:sz w:val="18"/>
                <w:szCs w:val="18"/>
              </w:rPr>
              <w:t>招标办领导</w:t>
            </w:r>
          </w:p>
          <w:p w14:paraId="5D991C08">
            <w:pPr>
              <w:spacing w:before="204" w:beforeLines="50"/>
              <w:rPr>
                <w:rFonts w:ascii="宋体" w:cs="宋体"/>
                <w:sz w:val="18"/>
                <w:szCs w:val="18"/>
              </w:rPr>
            </w:pPr>
          </w:p>
        </w:tc>
      </w:tr>
      <w:tr w14:paraId="34FC6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4" w:hRule="atLeast"/>
        </w:trPr>
        <w:tc>
          <w:tcPr>
            <w:tcW w:w="8659" w:type="dxa"/>
          </w:tcPr>
          <w:p w14:paraId="162ED6EC">
            <w:pPr>
              <w:rPr>
                <w:rFonts w:ascii="宋体" w:cs="宋体"/>
                <w:sz w:val="18"/>
                <w:szCs w:val="18"/>
              </w:rPr>
            </w:pPr>
            <w:r>
              <w:rPr>
                <w:rFonts w:hint="eastAsia" w:ascii="宋体" w:cs="宋体"/>
                <w:sz w:val="18"/>
                <w:szCs w:val="18"/>
              </w:rPr>
              <w:t>主管领导</w:t>
            </w:r>
          </w:p>
          <w:p w14:paraId="76333569">
            <w:pPr>
              <w:rPr>
                <w:rFonts w:ascii="宋体" w:cs="宋体"/>
                <w:sz w:val="18"/>
                <w:szCs w:val="18"/>
              </w:rPr>
            </w:pPr>
          </w:p>
          <w:p w14:paraId="794B748E">
            <w:pPr>
              <w:ind w:left="600" w:firstLine="2880" w:firstLineChars="1600"/>
              <w:rPr>
                <w:rFonts w:ascii="宋体" w:cs="宋体"/>
                <w:sz w:val="18"/>
                <w:szCs w:val="18"/>
              </w:rPr>
            </w:pPr>
          </w:p>
        </w:tc>
      </w:tr>
      <w:tr w14:paraId="75C5F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7" w:hRule="atLeast"/>
        </w:trPr>
        <w:tc>
          <w:tcPr>
            <w:tcW w:w="8659" w:type="dxa"/>
          </w:tcPr>
          <w:p w14:paraId="7488C6FA">
            <w:pPr>
              <w:spacing w:before="120"/>
              <w:rPr>
                <w:rFonts w:ascii="宋体" w:cs="宋体"/>
                <w:sz w:val="18"/>
                <w:szCs w:val="18"/>
              </w:rPr>
            </w:pPr>
            <w:r>
              <w:rPr>
                <w:rFonts w:hint="eastAsia" w:ascii="宋体" w:cs="宋体"/>
                <w:sz w:val="18"/>
                <w:szCs w:val="18"/>
              </w:rPr>
              <w:t>总经理</w:t>
            </w:r>
          </w:p>
        </w:tc>
      </w:tr>
    </w:tbl>
    <w:p w14:paraId="025464A7"/>
    <w:p w14:paraId="4D66CED8"/>
    <w:p w14:paraId="5E3C7085"/>
    <w:p w14:paraId="4953DEE3"/>
    <w:p w14:paraId="4C86B16A"/>
    <w:p w14:paraId="6BFB67EE"/>
    <w:p w14:paraId="5FCBADB4"/>
    <w:p w14:paraId="3BC3CCA0"/>
    <w:p w14:paraId="5AA230D9"/>
    <w:p w14:paraId="3BF4DCD7">
      <w:r>
        <w:drawing>
          <wp:inline distT="0" distB="0" distL="85090" distR="85090">
            <wp:extent cx="5274945" cy="7317105"/>
            <wp:effectExtent l="0" t="0" r="1905" b="17145"/>
            <wp:docPr id="1"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pic:cNvPicPr>
                      <a:picLocks noChangeAspect="1"/>
                    </pic:cNvPicPr>
                  </pic:nvPicPr>
                  <pic:blipFill>
                    <a:blip r:embed="rId4"/>
                    <a:stretch>
                      <a:fillRect/>
                    </a:stretch>
                  </pic:blipFill>
                  <pic:spPr>
                    <a:xfrm>
                      <a:off x="0" y="0"/>
                      <a:ext cx="5274945" cy="7317734"/>
                    </a:xfrm>
                    <a:prstGeom prst="rect">
                      <a:avLst/>
                    </a:prstGeom>
                    <a:noFill/>
                    <a:ln w="9525" cap="flat" cmpd="sng">
                      <a:noFill/>
                      <a:prstDash val="solid"/>
                      <a:miter/>
                    </a:ln>
                  </pic:spPr>
                </pic:pic>
              </a:graphicData>
            </a:graphic>
          </wp:inline>
        </w:drawing>
      </w:r>
    </w:p>
    <w:p w14:paraId="0DD45F4B">
      <w:r>
        <w:drawing>
          <wp:inline distT="0" distB="0" distL="85090" distR="85090">
            <wp:extent cx="5274945" cy="7317105"/>
            <wp:effectExtent l="0" t="0" r="1905" b="17145"/>
            <wp:docPr id="4"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pic:cNvPicPr>
                      <a:picLocks noChangeAspect="1"/>
                    </pic:cNvPicPr>
                  </pic:nvPicPr>
                  <pic:blipFill>
                    <a:blip r:embed="rId5"/>
                    <a:stretch>
                      <a:fillRect/>
                    </a:stretch>
                  </pic:blipFill>
                  <pic:spPr>
                    <a:xfrm>
                      <a:off x="0" y="0"/>
                      <a:ext cx="5274945" cy="7317734"/>
                    </a:xfrm>
                    <a:prstGeom prst="rect">
                      <a:avLst/>
                    </a:prstGeom>
                    <a:noFill/>
                    <a:ln w="9525" cap="flat" cmpd="sng">
                      <a:noFill/>
                      <a:prstDash val="solid"/>
                      <a:miter/>
                    </a:ln>
                  </pic:spPr>
                </pic:pic>
              </a:graphicData>
            </a:graphic>
          </wp:inline>
        </w:drawing>
      </w:r>
      <w:bookmarkStart w:id="0" w:name="_GoBack"/>
      <w:bookmarkEnd w:id="0"/>
    </w:p>
    <w:p w14:paraId="18311F2E">
      <w:r>
        <w:drawing>
          <wp:inline distT="0" distB="0" distL="85090" distR="85090">
            <wp:extent cx="5274945" cy="7317105"/>
            <wp:effectExtent l="0" t="0" r="1905" b="17145"/>
            <wp:docPr id="7"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pic:cNvPicPr>
                      <a:picLocks noChangeAspect="1"/>
                    </pic:cNvPicPr>
                  </pic:nvPicPr>
                  <pic:blipFill>
                    <a:blip r:embed="rId6"/>
                    <a:stretch>
                      <a:fillRect/>
                    </a:stretch>
                  </pic:blipFill>
                  <pic:spPr>
                    <a:xfrm>
                      <a:off x="0" y="0"/>
                      <a:ext cx="5274945" cy="7317734"/>
                    </a:xfrm>
                    <a:prstGeom prst="rect">
                      <a:avLst/>
                    </a:prstGeom>
                    <a:noFill/>
                    <a:ln w="9525" cap="flat" cmpd="sng">
                      <a:noFill/>
                      <a:prstDash val="solid"/>
                      <a:miter/>
                    </a:ln>
                  </pic:spPr>
                </pic:pic>
              </a:graphicData>
            </a:graphic>
          </wp:inline>
        </w:drawing>
      </w:r>
    </w:p>
    <w:p w14:paraId="723893A9"/>
    <w:p w14:paraId="789B9BAC"/>
    <w:p w14:paraId="588C3688"/>
    <w:p w14:paraId="50F048C8"/>
    <w:p w14:paraId="3C726952"/>
    <w:p w14:paraId="34E31F41">
      <w:r>
        <w:drawing>
          <wp:inline distT="0" distB="0" distL="85090" distR="85090">
            <wp:extent cx="5274945" cy="7317105"/>
            <wp:effectExtent l="0" t="0" r="1905" b="17145"/>
            <wp:docPr id="10"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pic:cNvPicPr>
                      <a:picLocks noChangeAspect="1"/>
                    </pic:cNvPicPr>
                  </pic:nvPicPr>
                  <pic:blipFill>
                    <a:blip r:embed="rId7"/>
                    <a:stretch>
                      <a:fillRect/>
                    </a:stretch>
                  </pic:blipFill>
                  <pic:spPr>
                    <a:xfrm>
                      <a:off x="0" y="0"/>
                      <a:ext cx="5274945" cy="7317734"/>
                    </a:xfrm>
                    <a:prstGeom prst="rect">
                      <a:avLst/>
                    </a:prstGeom>
                    <a:noFill/>
                    <a:ln w="9525" cap="flat" cmpd="sng">
                      <a:noFill/>
                      <a:prstDash val="solid"/>
                      <a:miter/>
                    </a:ln>
                  </pic:spPr>
                </pic:pic>
              </a:graphicData>
            </a:graphic>
          </wp:inline>
        </w:drawing>
      </w:r>
    </w:p>
    <w:p w14:paraId="03807CBF">
      <w:r>
        <w:drawing>
          <wp:inline distT="0" distB="0" distL="85090" distR="85090">
            <wp:extent cx="5274945" cy="3729355"/>
            <wp:effectExtent l="0" t="0" r="4445" b="1905"/>
            <wp:docPr id="13"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pic:cNvPicPr>
                      <a:picLocks noChangeAspect="1"/>
                    </pic:cNvPicPr>
                  </pic:nvPicPr>
                  <pic:blipFill>
                    <a:blip r:embed="rId8"/>
                    <a:stretch>
                      <a:fillRect/>
                    </a:stretch>
                  </pic:blipFill>
                  <pic:spPr>
                    <a:xfrm rot="16199996">
                      <a:off x="0" y="0"/>
                      <a:ext cx="5274945" cy="3729462"/>
                    </a:xfrm>
                    <a:prstGeom prst="rect">
                      <a:avLst/>
                    </a:prstGeom>
                    <a:noFill/>
                    <a:ln w="9525" cap="flat" cmpd="sng">
                      <a:noFill/>
                      <a:prstDash val="solid"/>
                      <a:miter/>
                    </a:ln>
                  </pic:spPr>
                </pic:pic>
              </a:graphicData>
            </a:graphic>
          </wp:inline>
        </w:drawing>
      </w:r>
    </w:p>
    <w:p w14:paraId="38E04D47">
      <w:r>
        <w:drawing>
          <wp:inline distT="0" distB="0" distL="85090" distR="85090">
            <wp:extent cx="5274945" cy="3729355"/>
            <wp:effectExtent l="0" t="0" r="4445" b="1905"/>
            <wp:docPr id="16"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pic:cNvPicPr>
                      <a:picLocks noChangeAspect="1"/>
                    </pic:cNvPicPr>
                  </pic:nvPicPr>
                  <pic:blipFill>
                    <a:blip r:embed="rId9"/>
                    <a:stretch>
                      <a:fillRect/>
                    </a:stretch>
                  </pic:blipFill>
                  <pic:spPr>
                    <a:xfrm rot="16200005">
                      <a:off x="0" y="0"/>
                      <a:ext cx="5274945" cy="3729462"/>
                    </a:xfrm>
                    <a:prstGeom prst="rect">
                      <a:avLst/>
                    </a:prstGeom>
                    <a:noFill/>
                    <a:ln w="9525" cap="flat" cmpd="sng">
                      <a:noFill/>
                      <a:prstDash val="solid"/>
                      <a:miter/>
                    </a:ln>
                  </pic:spPr>
                </pic:pic>
              </a:graphicData>
            </a:graphic>
          </wp:inline>
        </w:drawing>
      </w:r>
    </w:p>
    <w:p w14:paraId="55E74CFA">
      <w:r>
        <w:drawing>
          <wp:inline distT="0" distB="0" distL="85090" distR="85090">
            <wp:extent cx="5274945" cy="3729355"/>
            <wp:effectExtent l="0" t="0" r="1905" b="4445"/>
            <wp:docPr id="19"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pic:cNvPicPr>
                      <a:picLocks noChangeAspect="1"/>
                    </pic:cNvPicPr>
                  </pic:nvPicPr>
                  <pic:blipFill>
                    <a:blip r:embed="rId10"/>
                    <a:stretch>
                      <a:fillRect/>
                    </a:stretch>
                  </pic:blipFill>
                  <pic:spPr>
                    <a:xfrm>
                      <a:off x="0" y="0"/>
                      <a:ext cx="5274945" cy="3729462"/>
                    </a:xfrm>
                    <a:prstGeom prst="rect">
                      <a:avLst/>
                    </a:prstGeom>
                    <a:noFill/>
                    <a:ln w="9525" cap="flat" cmpd="sng">
                      <a:noFill/>
                      <a:prstDash val="solid"/>
                      <a:miter/>
                    </a:ln>
                  </pic:spPr>
                </pic:pic>
              </a:graphicData>
            </a:graphic>
          </wp:inline>
        </w:drawing>
      </w:r>
    </w:p>
    <w:p w14:paraId="1BFDE49B">
      <w:r>
        <w:drawing>
          <wp:inline distT="0" distB="0" distL="85090" distR="85090">
            <wp:extent cx="5274945" cy="3729355"/>
            <wp:effectExtent l="0" t="0" r="4445" b="1905"/>
            <wp:docPr id="22"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pic:cNvPicPr>
                      <a:picLocks noChangeAspect="1"/>
                    </pic:cNvPicPr>
                  </pic:nvPicPr>
                  <pic:blipFill>
                    <a:blip r:embed="rId11"/>
                    <a:stretch>
                      <a:fillRect/>
                    </a:stretch>
                  </pic:blipFill>
                  <pic:spPr>
                    <a:xfrm rot="16199995">
                      <a:off x="0" y="0"/>
                      <a:ext cx="5274945" cy="3729462"/>
                    </a:xfrm>
                    <a:prstGeom prst="rect">
                      <a:avLst/>
                    </a:prstGeom>
                    <a:noFill/>
                    <a:ln w="9525" cap="flat" cmpd="sng">
                      <a:noFill/>
                      <a:prstDash val="solid"/>
                      <a:miter/>
                    </a:ln>
                  </pic:spPr>
                </pic:pic>
              </a:graphicData>
            </a:graphic>
          </wp:inline>
        </w:drawing>
      </w:r>
    </w:p>
    <w:p w14:paraId="55B2EF6F">
      <w:r>
        <w:drawing>
          <wp:inline distT="0" distB="0" distL="85090" distR="85090">
            <wp:extent cx="5274945" cy="3729355"/>
            <wp:effectExtent l="0" t="0" r="1905" b="4445"/>
            <wp:docPr id="25"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pic:cNvPicPr>
                      <a:picLocks noChangeAspect="1"/>
                    </pic:cNvPicPr>
                  </pic:nvPicPr>
                  <pic:blipFill>
                    <a:blip r:embed="rId12"/>
                    <a:stretch>
                      <a:fillRect/>
                    </a:stretch>
                  </pic:blipFill>
                  <pic:spPr>
                    <a:xfrm>
                      <a:off x="0" y="0"/>
                      <a:ext cx="5274945" cy="3729462"/>
                    </a:xfrm>
                    <a:prstGeom prst="rect">
                      <a:avLst/>
                    </a:prstGeom>
                    <a:noFill/>
                    <a:ln w="9525" cap="flat" cmpd="sng">
                      <a:noFill/>
                      <a:prstDash val="solid"/>
                      <a:miter/>
                    </a:ln>
                  </pic:spPr>
                </pic:pic>
              </a:graphicData>
            </a:graphic>
          </wp:inline>
        </w:drawing>
      </w:r>
    </w:p>
    <w:p w14:paraId="73398E81">
      <w:r>
        <w:drawing>
          <wp:inline distT="0" distB="0" distL="85090" distR="85090">
            <wp:extent cx="5274945" cy="3729355"/>
            <wp:effectExtent l="0" t="0" r="1905" b="4445"/>
            <wp:docPr id="28"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pic:cNvPicPr>
                      <a:picLocks noChangeAspect="1"/>
                    </pic:cNvPicPr>
                  </pic:nvPicPr>
                  <pic:blipFill>
                    <a:blip r:embed="rId13"/>
                    <a:stretch>
                      <a:fillRect/>
                    </a:stretch>
                  </pic:blipFill>
                  <pic:spPr>
                    <a:xfrm>
                      <a:off x="0" y="0"/>
                      <a:ext cx="5274945" cy="3729462"/>
                    </a:xfrm>
                    <a:prstGeom prst="rect">
                      <a:avLst/>
                    </a:prstGeom>
                    <a:noFill/>
                    <a:ln w="9525" cap="flat" cmpd="sng">
                      <a:noFill/>
                      <a:prstDash val="solid"/>
                      <a:miter/>
                    </a:ln>
                  </pic:spPr>
                </pic:pic>
              </a:graphicData>
            </a:graphic>
          </wp:inline>
        </w:drawing>
      </w:r>
    </w:p>
    <w:p w14:paraId="65507E08"/>
    <w:p w14:paraId="338549A2"/>
    <w:p w14:paraId="1528517E"/>
    <w:p w14:paraId="02319043"/>
    <w:p w14:paraId="606C7915">
      <w:r>
        <w:drawing>
          <wp:inline distT="0" distB="0" distL="85090" distR="85090">
            <wp:extent cx="5274945" cy="3729355"/>
            <wp:effectExtent l="0" t="0" r="4445" b="1905"/>
            <wp:docPr id="31"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pic:cNvPicPr>
                      <a:picLocks noChangeAspect="1"/>
                    </pic:cNvPicPr>
                  </pic:nvPicPr>
                  <pic:blipFill>
                    <a:blip r:embed="rId14"/>
                    <a:stretch>
                      <a:fillRect/>
                    </a:stretch>
                  </pic:blipFill>
                  <pic:spPr>
                    <a:xfrm rot="5400000">
                      <a:off x="0" y="0"/>
                      <a:ext cx="5274945" cy="3729462"/>
                    </a:xfrm>
                    <a:prstGeom prst="rect">
                      <a:avLst/>
                    </a:prstGeom>
                    <a:noFill/>
                    <a:ln w="9525" cap="flat" cmpd="sng">
                      <a:noFill/>
                      <a:prstDash val="solid"/>
                      <a:miter/>
                    </a:ln>
                  </pic:spPr>
                </pic:pic>
              </a:graphicData>
            </a:graphic>
          </wp:inline>
        </w:drawing>
      </w:r>
    </w:p>
    <w:p w14:paraId="25301CA2">
      <w:r>
        <w:drawing>
          <wp:inline distT="0" distB="0" distL="85090" distR="85090">
            <wp:extent cx="5274945" cy="3729355"/>
            <wp:effectExtent l="0" t="0" r="4445" b="1905"/>
            <wp:docPr id="34"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pic:cNvPicPr>
                      <a:picLocks noChangeAspect="1"/>
                    </pic:cNvPicPr>
                  </pic:nvPicPr>
                  <pic:blipFill>
                    <a:blip r:embed="rId15"/>
                    <a:stretch>
                      <a:fillRect/>
                    </a:stretch>
                  </pic:blipFill>
                  <pic:spPr>
                    <a:xfrm rot="16200005">
                      <a:off x="0" y="0"/>
                      <a:ext cx="5274945" cy="3729462"/>
                    </a:xfrm>
                    <a:prstGeom prst="rect">
                      <a:avLst/>
                    </a:prstGeom>
                    <a:noFill/>
                    <a:ln w="9525" cap="flat" cmpd="sng">
                      <a:noFill/>
                      <a:prstDash val="solid"/>
                      <a:miter/>
                    </a:ln>
                  </pic:spPr>
                </pic:pic>
              </a:graphicData>
            </a:graphic>
          </wp:inline>
        </w:drawing>
      </w:r>
    </w:p>
    <w:p w14:paraId="486A3039">
      <w:r>
        <w:drawing>
          <wp:inline distT="0" distB="0" distL="85090" distR="85090">
            <wp:extent cx="5274945" cy="3729355"/>
            <wp:effectExtent l="0" t="0" r="4445" b="1905"/>
            <wp:docPr id="37"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pic:cNvPicPr>
                      <a:picLocks noChangeAspect="1"/>
                    </pic:cNvPicPr>
                  </pic:nvPicPr>
                  <pic:blipFill>
                    <a:blip r:embed="rId16"/>
                    <a:stretch>
                      <a:fillRect/>
                    </a:stretch>
                  </pic:blipFill>
                  <pic:spPr>
                    <a:xfrm rot="16199991">
                      <a:off x="0" y="0"/>
                      <a:ext cx="5274945" cy="3729462"/>
                    </a:xfrm>
                    <a:prstGeom prst="rect">
                      <a:avLst/>
                    </a:prstGeom>
                    <a:noFill/>
                    <a:ln w="9525" cap="flat" cmpd="sng">
                      <a:noFill/>
                      <a:prstDash val="solid"/>
                      <a:miter/>
                    </a:ln>
                  </pic:spPr>
                </pic:pic>
              </a:graphicData>
            </a:graphic>
          </wp:inline>
        </w:drawing>
      </w:r>
    </w:p>
    <w:p w14:paraId="05229664">
      <w:r>
        <w:drawing>
          <wp:inline distT="0" distB="0" distL="85090" distR="85090">
            <wp:extent cx="5274945" cy="3729355"/>
            <wp:effectExtent l="0" t="0" r="4445" b="1905"/>
            <wp:docPr id="40"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pic:cNvPicPr>
                      <a:picLocks noChangeAspect="1"/>
                    </pic:cNvPicPr>
                  </pic:nvPicPr>
                  <pic:blipFill>
                    <a:blip r:embed="rId17"/>
                    <a:stretch>
                      <a:fillRect/>
                    </a:stretch>
                  </pic:blipFill>
                  <pic:spPr>
                    <a:xfrm rot="16199991">
                      <a:off x="0" y="0"/>
                      <a:ext cx="5274945" cy="3729462"/>
                    </a:xfrm>
                    <a:prstGeom prst="rect">
                      <a:avLst/>
                    </a:prstGeom>
                    <a:noFill/>
                    <a:ln w="9525" cap="flat" cmpd="sng">
                      <a:noFill/>
                      <a:prstDash val="solid"/>
                      <a:miter/>
                    </a:ln>
                  </pic:spPr>
                </pic:pic>
              </a:graphicData>
            </a:graphic>
          </wp:inline>
        </w:drawing>
      </w:r>
    </w:p>
    <w:p w14:paraId="4C749469">
      <w:r>
        <w:drawing>
          <wp:inline distT="0" distB="0" distL="85090" distR="85090">
            <wp:extent cx="5274945" cy="3729355"/>
            <wp:effectExtent l="0" t="0" r="4445" b="1905"/>
            <wp:docPr id="43"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pic:cNvPicPr>
                      <a:picLocks noChangeAspect="1"/>
                    </pic:cNvPicPr>
                  </pic:nvPicPr>
                  <pic:blipFill>
                    <a:blip r:embed="rId18"/>
                    <a:stretch>
                      <a:fillRect/>
                    </a:stretch>
                  </pic:blipFill>
                  <pic:spPr>
                    <a:xfrm rot="16199995">
                      <a:off x="0" y="0"/>
                      <a:ext cx="5274945" cy="3729462"/>
                    </a:xfrm>
                    <a:prstGeom prst="rect">
                      <a:avLst/>
                    </a:prstGeom>
                    <a:noFill/>
                    <a:ln w="9525" cap="flat" cmpd="sng">
                      <a:noFill/>
                      <a:prstDash val="solid"/>
                      <a:miter/>
                    </a:ln>
                  </pic:spPr>
                </pic:pic>
              </a:graphicData>
            </a:graphic>
          </wp:inline>
        </w:drawing>
      </w:r>
    </w:p>
    <w:p w14:paraId="3A308F85">
      <w:r>
        <w:drawing>
          <wp:inline distT="0" distB="0" distL="85090" distR="85090">
            <wp:extent cx="5274945" cy="3729355"/>
            <wp:effectExtent l="0" t="0" r="4445" b="1905"/>
            <wp:docPr id="46"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pic:cNvPicPr>
                      <a:picLocks noChangeAspect="1"/>
                    </pic:cNvPicPr>
                  </pic:nvPicPr>
                  <pic:blipFill>
                    <a:blip r:embed="rId19"/>
                    <a:stretch>
                      <a:fillRect/>
                    </a:stretch>
                  </pic:blipFill>
                  <pic:spPr>
                    <a:xfrm rot="16199989">
                      <a:off x="0" y="0"/>
                      <a:ext cx="5274945" cy="3729462"/>
                    </a:xfrm>
                    <a:prstGeom prst="rect">
                      <a:avLst/>
                    </a:prstGeom>
                    <a:noFill/>
                    <a:ln w="9525" cap="flat" cmpd="sng">
                      <a:noFill/>
                      <a:prstDash val="solid"/>
                      <a:miter/>
                    </a:ln>
                  </pic:spPr>
                </pic:pic>
              </a:graphicData>
            </a:graphic>
          </wp:inline>
        </w:drawing>
      </w:r>
    </w:p>
    <w:p w14:paraId="1998401B"/>
    <w:p w14:paraId="043542A5"/>
    <w:p w14:paraId="53DC56B6"/>
    <w:p w14:paraId="6E22614C"/>
    <w:p w14:paraId="24E15624"/>
    <w:p w14:paraId="417BC38A"/>
    <w:p w14:paraId="7EB3F0F9"/>
    <w:sectPr>
      <w:pgSz w:w="11907" w:h="16839"/>
      <w:pgMar w:top="1440" w:right="1800" w:bottom="1440" w:left="1800" w:header="851" w:footer="992" w:gutter="0"/>
      <w:cols w:space="720" w:num="1"/>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Wingdings 2">
    <w:panose1 w:val="05020102010507070707"/>
    <w:charset w:val="02"/>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8ABE80"/>
    <w:multiLevelType w:val="multilevel"/>
    <w:tmpl w:val="918ABE80"/>
    <w:lvl w:ilvl="0" w:tentative="0">
      <w:start w:val="1"/>
      <w:numFmt w:val="chineseCountingThousand"/>
      <w:lvlText w:val="%1、"/>
      <w:lvlJc w:val="left"/>
      <w:pPr>
        <w:ind w:left="1080" w:hanging="480"/>
      </w:p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
    <w:nsid w:val="06C03667"/>
    <w:multiLevelType w:val="multilevel"/>
    <w:tmpl w:val="06C03667"/>
    <w:lvl w:ilvl="0" w:tentative="0">
      <w:start w:val="1"/>
      <w:numFmt w:val="decimalEnclosedParen"/>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4923718C"/>
    <w:multiLevelType w:val="multilevel"/>
    <w:tmpl w:val="4923718C"/>
    <w:lvl w:ilvl="0" w:tentative="0">
      <w:start w:val="1"/>
      <w:numFmt w:val="decimal"/>
      <w:lvlText w:val="（%1）"/>
      <w:lvlJc w:val="left"/>
      <w:pPr>
        <w:ind w:left="1112" w:hanging="600"/>
      </w:pPr>
    </w:lvl>
    <w:lvl w:ilvl="1" w:tentative="0">
      <w:start w:val="1"/>
      <w:numFmt w:val="lowerLetter"/>
      <w:lvlText w:val="%2)"/>
      <w:lvlJc w:val="left"/>
      <w:pPr>
        <w:ind w:left="1352" w:hanging="420"/>
      </w:pPr>
    </w:lvl>
    <w:lvl w:ilvl="2" w:tentative="0">
      <w:start w:val="1"/>
      <w:numFmt w:val="lowerRoman"/>
      <w:lvlText w:val="%3."/>
      <w:lvlJc w:val="right"/>
      <w:pPr>
        <w:ind w:left="1772" w:hanging="420"/>
      </w:pPr>
    </w:lvl>
    <w:lvl w:ilvl="3" w:tentative="0">
      <w:start w:val="1"/>
      <w:numFmt w:val="decimal"/>
      <w:lvlText w:val="%4."/>
      <w:lvlJc w:val="left"/>
      <w:pPr>
        <w:ind w:left="2192" w:hanging="420"/>
      </w:pPr>
    </w:lvl>
    <w:lvl w:ilvl="4" w:tentative="0">
      <w:start w:val="1"/>
      <w:numFmt w:val="lowerLetter"/>
      <w:lvlText w:val="%5)"/>
      <w:lvlJc w:val="left"/>
      <w:pPr>
        <w:ind w:left="2612" w:hanging="420"/>
      </w:pPr>
    </w:lvl>
    <w:lvl w:ilvl="5" w:tentative="0">
      <w:start w:val="1"/>
      <w:numFmt w:val="lowerRoman"/>
      <w:lvlText w:val="%6."/>
      <w:lvlJc w:val="right"/>
      <w:pPr>
        <w:ind w:left="3032" w:hanging="420"/>
      </w:pPr>
    </w:lvl>
    <w:lvl w:ilvl="6" w:tentative="0">
      <w:start w:val="1"/>
      <w:numFmt w:val="decimal"/>
      <w:lvlText w:val="%7."/>
      <w:lvlJc w:val="left"/>
      <w:pPr>
        <w:ind w:left="3452" w:hanging="420"/>
      </w:pPr>
    </w:lvl>
    <w:lvl w:ilvl="7" w:tentative="0">
      <w:start w:val="1"/>
      <w:numFmt w:val="lowerLetter"/>
      <w:lvlText w:val="%8)"/>
      <w:lvlJc w:val="left"/>
      <w:pPr>
        <w:ind w:left="3872" w:hanging="420"/>
      </w:pPr>
    </w:lvl>
    <w:lvl w:ilvl="8" w:tentative="0">
      <w:start w:val="1"/>
      <w:numFmt w:val="lowerRoman"/>
      <w:lvlText w:val="%9."/>
      <w:lvlJc w:val="right"/>
      <w:pPr>
        <w:ind w:left="4292"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documentProtection w:enforcement="0"/>
  <w:defaultTabStop w:val="420"/>
  <w:drawingGridHorizontalSpacing w:val="150"/>
  <w:drawingGridVerticalSpacing w:val="204"/>
  <w:displayHorizontalDrawingGridEvery w:val="0"/>
  <w:displayVerticalDrawingGridEvery w:val="1"/>
  <w:characterSpacingControl w:val="compressPunctuation"/>
  <w:compat>
    <w:spaceForUL/>
    <w:balanceSingleByteDoubleByteWidth/>
    <w:ulTrailSpace/>
    <w:doNotExpandShiftReturn/>
    <w:adjustLineHeightInTable/>
    <w:useFELayout/>
    <w:useAltKinsokuLineBreakRules/>
    <w:compatSetting w:name="compatibilityMode" w:uri="http://schemas.microsoft.com/office/word" w:val="15"/>
  </w:compat>
  <w:rsids>
    <w:rsidRoot w:val="00000000"/>
    <w:rsid w:val="4F40060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0"/>
      <w:szCs w:val="20"/>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8">
    <w:name w:val="Default Paragraph Font"/>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7"/>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7"/>
      </w:tabs>
      <w:snapToGrid w:val="0"/>
      <w:jc w:val="center"/>
    </w:pPr>
    <w:rPr>
      <w:sz w:val="18"/>
      <w:szCs w:val="18"/>
    </w:rPr>
  </w:style>
  <w:style w:type="paragraph" w:styleId="9">
    <w:name w:val="List Paragraph"/>
    <w:basedOn w:val="1"/>
    <w:uiPriority w:val="0"/>
    <w:pPr>
      <w:widowControl w:val="0"/>
      <w:ind w:firstLine="200" w:firstLineChars="200"/>
      <w:jc w:val="both"/>
    </w:pPr>
    <w:rPr>
      <w:rFonts w:ascii="Times New Roman" w:hAnsi="Times New Roman" w:eastAsia="宋体" w:cs="Times New Roman"/>
      <w:kern w:val="2"/>
      <w:sz w:val="30"/>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17</Pages>
  <Words>840</Words>
  <Characters>917</Characters>
  <Lines>96</Lines>
  <Paragraphs>40</Paragraphs>
  <TotalTime>999</TotalTime>
  <ScaleCrop>false</ScaleCrop>
  <LinksUpToDate>false</LinksUpToDate>
  <CharactersWithSpaces>974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2022-12-09T06:38:00Z</dcterms:created>
  <dc:creator>dell</dc:creator>
  <cp:lastModifiedBy>TZJ</cp:lastModifiedBy>
  <cp:lastPrinted>2025-11-19T00:08:00Z</cp:lastPrinted>
  <dcterms:modified xsi:type="dcterms:W3CDTF">2026-07-23T01:38:36Z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eyJoZGlkIjoiYjdhZjQxNjhkN2M0ODU1OGIxMTkyMjFhODNhZDc4ZTUiLCJ1c2VySWQiOiIyOTE3MDE4MjcifQ==</vt:lpwstr>
  </property>
  <property fmtid="{D5CDD505-2E9C-101B-9397-08002B2CF9AE}" pid="3" name="KSOProductBuildVer">
    <vt:lpwstr>2052-12.1.0.26895</vt:lpwstr>
  </property>
  <property fmtid="{D5CDD505-2E9C-101B-9397-08002B2CF9AE}" pid="4" name="ICV">
    <vt:lpwstr>62631AA506A048969F2358C200411EFD_12</vt:lpwstr>
  </property>
</Properties>
</file>